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Style w:val="CharStyle3"/>
          <w:b/>
          <w:bCs/>
        </w:rPr>
        <w:t>UMOWA Nr ... / 09 / 26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bookmarkStart w:id="0" w:name="bookmark0"/>
      <w:r>
        <w:rPr>
          <w:rStyle w:val="CharStyle6"/>
          <w:b/>
          <w:bCs/>
        </w:rPr>
        <w:t>O ŚWIADZENIU USŁUG W NIEPUBLICZNYM PRZEDSZKOLU</w:t>
        <w:br/>
        <w:t>„KOLOROWY ŚWIAT MALUSZKA”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360" w:lineRule="auto"/>
        <w:ind w:left="0" w:right="0" w:firstLine="0"/>
        <w:jc w:val="center"/>
      </w:pPr>
      <w:r>
        <w:rPr>
          <w:rStyle w:val="CharStyle3"/>
        </w:rPr>
        <w:t>Błędowa Zgłobieńska 99, 36-071 Trzciana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both"/>
      </w:pPr>
      <w:r>
        <w:rPr>
          <w:rStyle w:val="CharStyle3"/>
        </w:rPr>
        <w:t>Zawarta dnia 01.09.2026r. w Błędowej Zgłobieńskiej pomiędzy: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454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</w:rPr>
        <w:t>Stowarzyszeniem na Rzecz Rozwoju Błędowej Zgłobieńskiej -</w:t>
        <w:tab/>
        <w:t>z siedzibą w: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both"/>
      </w:pPr>
      <w:r>
        <w:rPr>
          <w:rStyle w:val="CharStyle3"/>
        </w:rPr>
        <w:t>Błędowa Zgłobieńska 99, 36-071 Trzciana, NIP 5170356922, REGON: 180766509, wpisanym do Krajowego Rejestru Sądowego pod numerem 0000396884 - organem prowadzącym Niepubliczne Przedszkole „KOLOROWY ŚWIAT MALUSZKA” w Błędowej Zgłobieńskiej reprezentowanym przez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319" w:lineRule="auto"/>
        <w:ind w:left="0" w:right="0" w:firstLine="0"/>
        <w:jc w:val="both"/>
      </w:pPr>
      <w:r>
        <w:rPr>
          <w:rStyle w:val="CharStyle3"/>
        </w:rPr>
        <w:t>a Rodzicem/Opiekunem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8054" w:val="right"/>
          <w:tab w:pos="8259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rStyle w:val="CharStyle3"/>
        </w:rPr>
        <w:t>legitymującą/ym się dow. osob</w:t>
        <w:tab/>
        <w:t>(seria</w:t>
        <w:tab/>
        <w:t>i numer)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rStyle w:val="CharStyle3"/>
        </w:rPr>
        <w:t>zwanym dalej Usługobiorcą.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rStyle w:val="CharStyle6"/>
          <w:b/>
          <w:bCs/>
        </w:rPr>
        <w:t>§ 1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both"/>
      </w:pPr>
      <w:r>
        <w:rPr>
          <w:rStyle w:val="CharStyle3"/>
        </w:rPr>
        <w:t>Przedmiotem umowy jest świadczenie usług dydaktycznych i opiekuńczo-wychowawczych dla dziecka: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Zasady organizacji przedszkola oraz rekrutacji dzieci określa Statut Przedszkola (umieszczony na stronie internetowej i wywieszony na tablicy ogłoszeń w holu Przedszkola).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End w:id="6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0" w:val="left"/>
        </w:tabs>
        <w:bidi w:val="0"/>
        <w:spacing w:before="0" w:after="0" w:line="240" w:lineRule="auto"/>
        <w:ind w:left="740" w:right="0" w:hanging="360"/>
        <w:jc w:val="both"/>
      </w:pPr>
      <w:r>
        <w:rPr>
          <w:rStyle w:val="CharStyle3"/>
        </w:rPr>
        <w:t>Usługi świadczone w Przedszkolu Niepublicznym „KOLOROWY ŚWIAT MALUSZKA” są odpłatne.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Odpłatność w roku przedszkolnym 2026/2027 wynosi: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19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Czesne za każdy miesiąc od 01.09.2026r. do 31.08.2027r. (wyłączając jeden miesiąc przerwy wakacyjnej) wynosi:</w:t>
        <w:tab/>
        <w:t>zł (słownie) za dziecko.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4" w:val="left"/>
        </w:tabs>
        <w:bidi w:val="0"/>
        <w:spacing w:before="0" w:after="0" w:line="240" w:lineRule="auto"/>
        <w:ind w:left="740" w:right="0" w:hanging="360"/>
        <w:jc w:val="both"/>
      </w:pPr>
      <w:r>
        <w:rPr>
          <w:rStyle w:val="CharStyle3"/>
        </w:rPr>
        <w:t>Odpłatności wymienione w par.3 ust.1 nie obejmują: wyprawki, książek do przedszkola, wycieczek oraz składek za nieobowiązkowe ubezpieczenie dziecka przez okres świadczenia usług.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9" w:val="left"/>
        </w:tabs>
        <w:bidi w:val="0"/>
        <w:spacing w:before="0" w:after="280" w:line="240" w:lineRule="auto"/>
        <w:ind w:left="740" w:right="0" w:hanging="360"/>
        <w:jc w:val="both"/>
      </w:pPr>
      <w:r>
        <w:rPr>
          <w:rStyle w:val="CharStyle3"/>
        </w:rPr>
        <w:t>Czesne nie podlega odpisom oraz zwrotom w przypadku rezygnacji przez Usługobiorcę z usług świadczonych przez Usługodawcę z przyczyn leżących po stronie Usługobiorcy.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bookmarkEnd w:id="8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rStyle w:val="CharStyle3"/>
        </w:rPr>
        <w:t>Czesne jest płatne miesięcznie do dnia 10 każdego miesiąca: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3"/>
        </w:rPr>
        <w:t xml:space="preserve">Przelewem na konto: </w:t>
      </w:r>
      <w:r>
        <w:rPr>
          <w:rStyle w:val="CharStyle3"/>
          <w:color w:val="222222"/>
          <w:sz w:val="24"/>
          <w:szCs w:val="24"/>
        </w:rPr>
        <w:t>14 1050 1562 1000 0090 8058 2258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Czesne płatne przelewem powinno wpłynąć na rachunek do w/w dnia miesiąca.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W przypadku powstania opóźnienia w płatności (czesne i wyżywienie), Usługobiorca zapłaci karę umowną zgodnie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 art.359 § 2 1. KC - odsetki maksymalne.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Usługodawca dopuszcza możliwość odstąpienia od naliczenia kary umownej, jeżeli Usługobiorca powiadomi dyrektora placówki do 10 danego miesiąca o konieczności przesunięcia terminu płatności i ustali z nim nowy termin płatności.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End w:id="10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82" w:val="left"/>
        </w:tabs>
        <w:bidi w:val="0"/>
        <w:spacing w:before="0" w:after="0" w:line="259" w:lineRule="auto"/>
        <w:ind w:left="0" w:right="0" w:firstLine="0"/>
        <w:jc w:val="left"/>
        <w:rPr>
          <w:sz w:val="24"/>
          <w:szCs w:val="24"/>
        </w:rPr>
      </w:pPr>
      <w:r>
        <w:rPr>
          <w:rStyle w:val="CharStyle3"/>
        </w:rPr>
        <w:t xml:space="preserve">.Usługobiorca zobowiązuje się do uiszczania do dnia 10 każdego miesiąca opłaty za żywienie przelewem na konto: </w:t>
      </w:r>
      <w:r>
        <w:rPr>
          <w:rStyle w:val="CharStyle3"/>
          <w:color w:val="222222"/>
          <w:sz w:val="24"/>
          <w:szCs w:val="24"/>
        </w:rPr>
        <w:t>14 1050 1562 1000 0090 8058 2258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9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.Stawka żywieniowa ustalana będzie na dany miesiąc w oparciu o kwoty i podana do wiadomości Usługobiorcy na tablicy ogłoszeń.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.Zwrot opłaty za wyżywienie naliczany jest w przypadku zgłoszenia nieobecności dziecka wg regulaminu zgłaszania odliczenia obiadów.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01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</w:rPr>
        <w:t>.Rozliczenie opłaty za wyżywienie nastąpi na koniec miesiąca i zostanie podane do indywidulanej wiadomości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Usługodawca zobowiązuje się do zapewnienia dziecku 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2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Opieki dydaktyczno - wychowawczo - opiekuńczej.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Bezpieczeństwa w czasie pobytu dziecka w przedszkolu i zajęć organizowanych przez Usługodawcę.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Warunków do wspierania rozwoju osobowości dziecka poprzez zorganizowanie zajęć i zabaw wykraczających poza podstawę programową.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Posiłków określonych w Statucie przedszkola.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Zorganizowania za zgodą rodziców opieki logopedycznej, psychologicznej, gimnastyki korekcyjnej w zakresie profilaktyki i diagnozy, jeśli zachodzi taka potrzeba.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Udziału dzieci od miesiąca września do miesiąca czerwca w zajęciach dodatkowych: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a) Rytmika, j. angielski, zajęcia sportowe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Usługobiorca zobowiązuje się do: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2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Terminowego uiszczania opłat.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Przyprowadzania do przedszkola </w:t>
      </w:r>
      <w:r>
        <w:rPr>
          <w:rStyle w:val="CharStyle3"/>
          <w:b/>
          <w:bCs/>
        </w:rPr>
        <w:t xml:space="preserve">tylko zdrowego </w:t>
      </w:r>
      <w:r>
        <w:rPr>
          <w:rStyle w:val="CharStyle3"/>
        </w:rPr>
        <w:t>dziecka.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3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Aktywnej współpracy z Usługodawcą w procesie edukacji i wychowania dziecka Usługobiorcy.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Natychmiastowego informowania dyrektora o zmianie zamieszkania dziecka oraz o równoległym zapisaniu dziecka do innej placówki wychowania przedszkolnego 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3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Przestrzegania przepisów zawartych w Statucie.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bookmarkEnd w:id="16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00" w:val="left"/>
          <w:tab w:pos="3591" w:val="left"/>
        </w:tabs>
        <w:bidi w:val="0"/>
        <w:spacing w:before="0" w:after="0" w:line="240" w:lineRule="auto"/>
        <w:ind w:left="740" w:right="0" w:hanging="360"/>
        <w:jc w:val="both"/>
      </w:pPr>
      <w:r>
        <w:rPr>
          <w:rStyle w:val="CharStyle3"/>
        </w:rPr>
        <w:t>Usługodawca stwarza możliwość odpłatnego korzystania z zajęć dodatkowych organizowanych</w:t>
        <w:tab/>
        <w:t>w porozumieniu z rodzicami.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24" w:val="left"/>
        </w:tabs>
        <w:bidi w:val="0"/>
        <w:spacing w:before="0" w:after="0" w:line="240" w:lineRule="auto"/>
        <w:ind w:left="740" w:right="0" w:hanging="360"/>
        <w:jc w:val="both"/>
      </w:pPr>
      <w:r>
        <w:rPr>
          <w:rStyle w:val="CharStyle3"/>
        </w:rPr>
        <w:t>Rodzaj zajęć, ich częstotliwość, forma organizacyjna zależy od możliwości przedszkola i jest ustalana przez dyrektora przedszkola. Płatności za zajęcia dodatkowe będą rozliczane wg. cennika opłat wywieszonego na tablicy ogłoszeń.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" w:name="bookmark18"/>
      <w:bookmarkEnd w:id="18"/>
    </w:p>
    <w:p>
      <w:pPr>
        <w:pStyle w:val="Style2"/>
        <w:keepNext w:val="0"/>
        <w:keepLines w:val="0"/>
        <w:widowControl w:val="0"/>
        <w:shd w:val="clear" w:color="auto" w:fill="auto"/>
        <w:tabs>
          <w:tab w:pos="2582" w:val="left"/>
          <w:tab w:pos="4594" w:val="left"/>
          <w:tab w:pos="6187" w:val="left"/>
          <w:tab w:pos="840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Usługodawca</w:t>
        <w:tab/>
        <w:t>odstąpi</w:t>
        <w:tab/>
        <w:t>od</w:t>
        <w:tab/>
        <w:t>niniejszej</w:t>
        <w:tab/>
        <w:t>umowy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po zaistnieniu następujących okoliczności: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8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.Usługobiorca nie wniesie w ciągu kolejnych 3 miesięcy opłaty za świadczone usługi przez Usługodawcę i nie wniesie jej po pisemnym wezwaniu do zapłaty w określonym przez Usługodawcę terminie.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9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.Zachowanie dziecka Usługobiorcy będzie uniemożliwiać pracę nauczycielom lub stwarzać zagrożenie dla bezpieczeństwa innych dzieci.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8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.Nastąpi brak współpracy pomiędzy personelem dydaktycznym a Usługobiorcą w kwestii rozwiązywania problemów powstałych w procesie edukacji i wychowania dziecka.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0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.Nie przestrzegania zasad i przepisów zawartych w Statucie przedszkola i nie stosowanie się do nich przez Usługobiorcę pomimo uprzedniego pisemnego wezwania do ich przestrzegania.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0" w:name="bookmark20"/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Umowa zawarta jest na okres od 01.09.2026r. do 31.08.2027r.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" w:name="bookmark22"/>
      <w:bookmarkEnd w:id="2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Umowa może być wypowiedziana przez każdą ze stron z zachowaniem okresu wypowiedzenia wynoszącego: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2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miesiąc. ze skutkiem na koniec miesiąca kalendarzowego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4" w:name="bookmark24"/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both"/>
      </w:pPr>
      <w:r>
        <w:rPr>
          <w:rStyle w:val="CharStyle3"/>
        </w:rPr>
        <w:t>Wszelkie zmiany w niniejszej umowie wymagają formy pisemnej pod rygorem nieważności.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6" w:name="bookmark26"/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both"/>
      </w:pPr>
      <w:r>
        <w:rPr>
          <w:rStyle w:val="CharStyle3"/>
        </w:rPr>
        <w:t>W sprawach nie uregulowanych niniejszą umową obowiązują przepisy Kodeksu Cywilnego.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8" w:name="bookmark28"/>
      <w:bookmarkEnd w:id="2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Strony zobowiązują się rozpatrywać wszystkie sprawy polubownie. W razie braku możliwości polubownego rozstrzygnięcia sprawy właściwym do jej rozwiązania będzie sąd właściwy dla miejsca siedziby Usługodawcy.</w:t>
      </w:r>
    </w:p>
    <w:p>
      <w:pPr>
        <w:pStyle w:val="Style5"/>
        <w:keepNext/>
        <w:keepLines/>
        <w:widowControl w:val="0"/>
        <w:numPr>
          <w:ilvl w:val="0"/>
          <w:numId w:val="1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0" w:name="bookmark30"/>
      <w:bookmarkEnd w:id="3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left"/>
      </w:pPr>
      <w:r>
        <w:rPr>
          <w:rStyle w:val="CharStyle3"/>
        </w:rPr>
        <w:t>Umowa została sporządzona w dwóch jednobrzmiących egzemplarzach, po jednym dla każdej ze stron.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12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12700</wp:posOffset>
                </wp:positionV>
                <wp:extent cx="789305" cy="17970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930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Usługobiorca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4.8pt;margin-top:1.pt;width:62.149999999999999pt;height:14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Usługobiorca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Usługodawca</w:t>
      </w:r>
    </w:p>
    <w:sectPr>
      <w:footnotePr>
        <w:pos w:val="pageBottom"/>
        <w:numFmt w:val="decimal"/>
        <w:numRestart w:val="continuous"/>
      </w:footnotePr>
      <w:pgSz w:w="11900" w:h="16840"/>
      <w:pgMar w:top="711" w:right="1383" w:bottom="372" w:left="1388" w:header="283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§ 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abstractNum w:abstractNumId="6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abstractNum w:abstractNumId="10">
    <w:multiLevelType w:val="multilevel"/>
    <w:lvl w:ilvl="0">
      <w:start w:val="8"/>
      <w:numFmt w:val="decimal"/>
      <w:lvlText w:val="§ 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abstractNum w:abstractNumId="16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abstractNum w:abstractNumId="18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Body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Heading #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Heading #1"/>
    <w:basedOn w:val="Normal"/>
    <w:link w:val="CharStyle6"/>
    <w:pPr>
      <w:widowControl w:val="0"/>
      <w:shd w:val="clear" w:color="auto" w:fill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UMOWA Nr         /   02 / 19</dc:title>
  <dc:subject/>
  <dc:creator>USER</dc:creator>
  <cp:keywords/>
</cp:coreProperties>
</file>